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CFD" w:rsidRPr="00290886" w:rsidRDefault="00061DF7" w:rsidP="00261C03">
      <w:pPr>
        <w:pStyle w:val="Bodytext30"/>
        <w:widowControl/>
        <w:shd w:val="clear" w:color="auto" w:fill="auto"/>
        <w:spacing w:after="38" w:line="240" w:lineRule="auto"/>
        <w:jc w:val="both"/>
        <w:rPr>
          <w:rFonts w:ascii="Times New Roman" w:hAnsi="Times New Roman" w:cs="Times New Roman"/>
        </w:rPr>
      </w:pPr>
      <w:bookmarkStart w:id="0" w:name="_GoBack"/>
      <w:bookmarkEnd w:id="0"/>
      <w:r w:rsidRPr="00290886">
        <w:rPr>
          <w:rFonts w:ascii="Times New Roman" w:hAnsi="Times New Roman"/>
        </w:rPr>
        <w:t>Симулација Самита о климатским променама: Снабдевање конвенционалном енергијом</w:t>
      </w:r>
    </w:p>
    <w:p w:rsidR="0010014B" w:rsidRPr="00290886" w:rsidRDefault="0010014B" w:rsidP="00261C03">
      <w:pPr>
        <w:pStyle w:val="Bodytext30"/>
        <w:widowControl/>
        <w:shd w:val="clear" w:color="auto" w:fill="auto"/>
        <w:spacing w:after="38" w:line="240" w:lineRule="auto"/>
        <w:rPr>
          <w:rFonts w:ascii="Times New Roman" w:hAnsi="Times New Roman" w:cs="Times New Roman"/>
          <w:lang w:val="ru-RU"/>
        </w:rPr>
      </w:pPr>
    </w:p>
    <w:p w:rsidR="00EA7CFD" w:rsidRPr="00290886" w:rsidRDefault="00061DF7" w:rsidP="00261C03">
      <w:pPr>
        <w:pStyle w:val="Bodytext40"/>
        <w:widowControl/>
        <w:shd w:val="clear" w:color="auto" w:fill="auto"/>
        <w:tabs>
          <w:tab w:val="left" w:pos="1440"/>
        </w:tabs>
        <w:spacing w:line="240" w:lineRule="auto"/>
      </w:pPr>
      <w:r w:rsidRPr="00290886">
        <w:t>За:</w:t>
      </w:r>
      <w:r w:rsidRPr="00290886">
        <w:tab/>
        <w:t>Главне преговараче у сектору конвенционалне енергетике</w:t>
      </w:r>
    </w:p>
    <w:p w:rsidR="00EA7CFD" w:rsidRPr="00290886" w:rsidRDefault="00061DF7" w:rsidP="00261C03">
      <w:pPr>
        <w:pStyle w:val="Bodytext40"/>
        <w:widowControl/>
        <w:shd w:val="clear" w:color="auto" w:fill="auto"/>
        <w:tabs>
          <w:tab w:val="left" w:pos="1440"/>
        </w:tabs>
        <w:spacing w:after="120" w:line="240" w:lineRule="auto"/>
      </w:pPr>
      <w:r w:rsidRPr="00290886">
        <w:t>Тема:</w:t>
      </w:r>
      <w:r w:rsidRPr="00290886">
        <w:tab/>
        <w:t>Припрема за Самит о климатским променама</w:t>
      </w:r>
    </w:p>
    <w:p w:rsidR="00EA7CFD" w:rsidRPr="00290886" w:rsidRDefault="00061DF7" w:rsidP="00261C03">
      <w:pPr>
        <w:pStyle w:val="Bodytext20"/>
        <w:widowControl/>
        <w:shd w:val="clear" w:color="auto" w:fill="auto"/>
        <w:spacing w:before="0" w:after="120" w:line="240" w:lineRule="auto"/>
        <w:ind w:firstLine="0"/>
        <w:jc w:val="both"/>
      </w:pPr>
      <w:r w:rsidRPr="00290886">
        <w:t xml:space="preserve">Добро дошли на Самит о климатским променама. Генерални секретар УН вас је заједно са другим лидерима свих релевантних заинтересованих страна позвао да заједничким радом успешно одговорите на климатске промене. Генерални секретар је у свом позиву </w:t>
      </w:r>
      <w:r w:rsidRPr="00290886">
        <w:rPr>
          <w:rStyle w:val="Bodytext21"/>
        </w:rPr>
        <w:t>истакао</w:t>
      </w:r>
      <w:r w:rsidRPr="00290886">
        <w:t>: „Климатска ванредна ситуација је трка у којој губимо, али то је трка у којој можемо да победимо... Врхунска наука... говори нам да ће свако повећање температуре које прелази 1,5°C довести до огромне и неповратне штете по екосистеме који нас издржавају... Међутим, наука нам такође говори да није прекасно.</w:t>
      </w:r>
    </w:p>
    <w:p w:rsidR="00EA7CFD" w:rsidRPr="00290886" w:rsidRDefault="00061DF7" w:rsidP="00261C03">
      <w:pPr>
        <w:pStyle w:val="Bodytext20"/>
        <w:widowControl/>
        <w:shd w:val="clear" w:color="auto" w:fill="auto"/>
        <w:spacing w:before="0" w:after="120" w:line="240" w:lineRule="auto"/>
        <w:ind w:firstLine="0"/>
        <w:jc w:val="both"/>
      </w:pPr>
      <w:r w:rsidRPr="00290886">
        <w:t>Ми то можемо... Али биће нам неопходне темељне промене у свим аспектима друштва – у начину на који узгајамо храну, искоришћавамо земљу, трошимо гориво за превоз и струју за своје привреде... Уколико делујемо заједно, нико неће бити препуштен сам себи“.</w:t>
      </w:r>
    </w:p>
    <w:p w:rsidR="00EA7CFD" w:rsidRPr="00290886" w:rsidRDefault="00061DF7" w:rsidP="00261C03">
      <w:pPr>
        <w:pStyle w:val="Bodytext20"/>
        <w:widowControl/>
        <w:shd w:val="clear" w:color="auto" w:fill="auto"/>
        <w:spacing w:before="0" w:after="120" w:line="240" w:lineRule="auto"/>
        <w:ind w:firstLine="0"/>
        <w:jc w:val="both"/>
      </w:pPr>
      <w:r w:rsidRPr="00290886">
        <w:t xml:space="preserve">Циљ овог самита је стварање плана којим би се глобално загревање ограничило на мање од 2°C [3,6°F] изнад </w:t>
      </w:r>
      <w:proofErr w:type="spellStart"/>
      <w:r w:rsidRPr="00290886">
        <w:t>прединдустријских</w:t>
      </w:r>
      <w:proofErr w:type="spellEnd"/>
      <w:r w:rsidRPr="00290886">
        <w:t xml:space="preserve"> нивоа, уз тежњу да то буде 1,5°C [2,7°F], што су формално признати међународни циљеви у Париском споразуму о клими. </w:t>
      </w:r>
      <w:r w:rsidRPr="00290886">
        <w:rPr>
          <w:rStyle w:val="Bodytext21"/>
        </w:rPr>
        <w:t>Научни докази</w:t>
      </w:r>
      <w:r w:rsidRPr="00290886">
        <w:t xml:space="preserve"> су јасни: загревање изнад овог ограничења задаће катастрофалне и неповратне ударце који прете здрављу, напретку и животима људи у свим земљама.</w:t>
      </w:r>
    </w:p>
    <w:p w:rsidR="00EA7CFD" w:rsidRPr="00290886" w:rsidRDefault="00061DF7" w:rsidP="00261C03">
      <w:pPr>
        <w:pStyle w:val="Bodytext20"/>
        <w:widowControl/>
        <w:shd w:val="clear" w:color="auto" w:fill="auto"/>
        <w:spacing w:before="0" w:after="120" w:line="240" w:lineRule="auto"/>
        <w:ind w:firstLine="0"/>
        <w:jc w:val="both"/>
      </w:pPr>
      <w:r w:rsidRPr="00290886">
        <w:t xml:space="preserve">Ви представљате произвођаче и продавце угља, нафте, земног гаса, нуклеарне енергије и струје који свет снабдевају највећим делом енергије. У вашој групи су приватне и државне нафтне и гасне компаније, рудници угља, </w:t>
      </w:r>
      <w:proofErr w:type="spellStart"/>
      <w:r w:rsidRPr="00290886">
        <w:t>електродистрибуције</w:t>
      </w:r>
      <w:proofErr w:type="spellEnd"/>
      <w:r w:rsidRPr="00290886">
        <w:t xml:space="preserve"> зависне од фосилних горива, као и фирме које обезбеђује услуге и опрему за овај сектор.</w:t>
      </w:r>
    </w:p>
    <w:p w:rsidR="00EA7CFD" w:rsidRPr="00290886" w:rsidRDefault="00061DF7" w:rsidP="00261C03">
      <w:pPr>
        <w:pStyle w:val="Bodytext20"/>
        <w:widowControl/>
        <w:shd w:val="clear" w:color="auto" w:fill="auto"/>
        <w:spacing w:before="0" w:after="120" w:line="240" w:lineRule="auto"/>
        <w:ind w:firstLine="0"/>
        <w:jc w:val="both"/>
      </w:pPr>
      <w:r w:rsidRPr="00290886">
        <w:t>Ваше приоритетне смернице наведене су у наставку. Међутим, можете да предложите или блокирате све расположиве смернице.</w:t>
      </w:r>
    </w:p>
    <w:p w:rsidR="00EA7CFD" w:rsidRPr="00290886" w:rsidRDefault="00061DF7" w:rsidP="00261C03">
      <w:pPr>
        <w:pStyle w:val="Bodytext20"/>
        <w:widowControl/>
        <w:numPr>
          <w:ilvl w:val="0"/>
          <w:numId w:val="1"/>
        </w:numPr>
        <w:shd w:val="clear" w:color="auto" w:fill="auto"/>
        <w:tabs>
          <w:tab w:val="left" w:pos="362"/>
        </w:tabs>
        <w:spacing w:before="0" w:after="120" w:line="240" w:lineRule="auto"/>
        <w:ind w:left="400" w:right="-1"/>
        <w:jc w:val="both"/>
      </w:pPr>
      <w:r w:rsidRPr="00290886">
        <w:rPr>
          <w:rStyle w:val="Bodytext2Bold"/>
        </w:rPr>
        <w:t xml:space="preserve">Противљење високим накнадама за </w:t>
      </w:r>
      <w:proofErr w:type="spellStart"/>
      <w:r w:rsidRPr="00290886">
        <w:rPr>
          <w:rStyle w:val="Bodytext2Bold"/>
        </w:rPr>
        <w:t>угљенични</w:t>
      </w:r>
      <w:proofErr w:type="spellEnd"/>
      <w:r w:rsidRPr="00290886">
        <w:rPr>
          <w:rStyle w:val="Bodytext2Bold"/>
        </w:rPr>
        <w:t xml:space="preserve"> отисак. </w:t>
      </w:r>
      <w:r w:rsidRPr="00290886">
        <w:t xml:space="preserve">Ваши економисти потврђују да би подизање цена фосилног горива увођењем накнаде за </w:t>
      </w:r>
      <w:proofErr w:type="spellStart"/>
      <w:r w:rsidRPr="00290886">
        <w:t>угљенични</w:t>
      </w:r>
      <w:proofErr w:type="spellEnd"/>
      <w:r w:rsidRPr="00290886">
        <w:t xml:space="preserve"> отисак чиме би оне одражавале штету од емисије гасова са ефектом стаклене баште (GHG) по животну средину и друштво био најбољи начин за глобално смањење емисија. Међутим, накнада за </w:t>
      </w:r>
      <w:proofErr w:type="spellStart"/>
      <w:r w:rsidRPr="00290886">
        <w:t>угљенични</w:t>
      </w:r>
      <w:proofErr w:type="spellEnd"/>
      <w:r w:rsidRPr="00290886">
        <w:t xml:space="preserve"> отисак која прелази 25–30 УСД по тони CO</w:t>
      </w:r>
      <w:r w:rsidRPr="00290886">
        <w:rPr>
          <w:vertAlign w:val="subscript"/>
        </w:rPr>
        <w:t>2</w:t>
      </w:r>
      <w:r w:rsidRPr="00290886">
        <w:t xml:space="preserve"> нанела би неприхватљиву штету индустрији фосилних горива тако што би подигла цене и снизила потражњу доводећи до </w:t>
      </w:r>
      <w:proofErr w:type="spellStart"/>
      <w:r w:rsidRPr="00290886">
        <w:t>умртвљавања</w:t>
      </w:r>
      <w:proofErr w:type="spellEnd"/>
      <w:r w:rsidRPr="00290886">
        <w:t xml:space="preserve"> имовине и губитака капитала деоничара. Иако неке нафтне компаније јавно тврде да подржавају накнаду за </w:t>
      </w:r>
      <w:proofErr w:type="spellStart"/>
      <w:r w:rsidRPr="00290886">
        <w:t>угљенични</w:t>
      </w:r>
      <w:proofErr w:type="spellEnd"/>
      <w:r w:rsidRPr="00290886">
        <w:t xml:space="preserve"> отисак, ваш сектор и даље финансира политичаре који јој се противе и који је блокирају. Предвиђате притисак других група да се ова накнада озакони. Заузмите чврст став против ове политике.</w:t>
      </w:r>
    </w:p>
    <w:p w:rsidR="00EA7CFD" w:rsidRPr="00290886" w:rsidRDefault="00061DF7" w:rsidP="00261C03">
      <w:pPr>
        <w:pStyle w:val="Bodytext20"/>
        <w:widowControl/>
        <w:numPr>
          <w:ilvl w:val="0"/>
          <w:numId w:val="1"/>
        </w:numPr>
        <w:shd w:val="clear" w:color="auto" w:fill="auto"/>
        <w:tabs>
          <w:tab w:val="left" w:pos="362"/>
        </w:tabs>
        <w:spacing w:before="0" w:after="120" w:line="240" w:lineRule="auto"/>
        <w:ind w:left="400" w:right="-1"/>
        <w:jc w:val="both"/>
      </w:pPr>
      <w:r w:rsidRPr="00290886">
        <w:rPr>
          <w:rStyle w:val="Bodytext2Bold"/>
        </w:rPr>
        <w:t xml:space="preserve">Противљење порезима на фосилна горива. </w:t>
      </w:r>
      <w:r w:rsidRPr="00290886">
        <w:t xml:space="preserve">Ваша индустрија не жели нити да буде регулисана нити да сноси трошак ублажавања климатских промена. Будући да већ предвиђате значајне пословне губитке јер се у веку пред нама свет удаљава од фосилних горива, не можете да сносите додатне трошкове који неправично кажњавају вашу индустрију. Заправо, можете да захтевате субвенције за земни гас који промовишете као компромисно гориво јер није </w:t>
      </w:r>
      <w:proofErr w:type="spellStart"/>
      <w:r w:rsidRPr="00290886">
        <w:t>угљенично</w:t>
      </w:r>
      <w:proofErr w:type="spellEnd"/>
      <w:r w:rsidRPr="00290886">
        <w:t xml:space="preserve"> интензиван као угаљ и нафта. Уколико је регулатива неизбежна, боље је забранити угаљ него нафту и гас. Сагоревање угља емитује највише угљен-диоксида, а угаљ доноси мањи профит од нафте и гаса.</w:t>
      </w:r>
    </w:p>
    <w:p w:rsidR="00934588" w:rsidRPr="00290886" w:rsidRDefault="00934588" w:rsidP="00261C03">
      <w:pPr>
        <w:pStyle w:val="Bodytext20"/>
        <w:widowControl/>
        <w:numPr>
          <w:ilvl w:val="0"/>
          <w:numId w:val="1"/>
        </w:numPr>
        <w:shd w:val="clear" w:color="auto" w:fill="auto"/>
        <w:spacing w:before="0" w:after="120" w:line="240" w:lineRule="auto"/>
        <w:ind w:left="400" w:right="-1"/>
        <w:jc w:val="both"/>
      </w:pPr>
      <w:r w:rsidRPr="00290886">
        <w:rPr>
          <w:b/>
        </w:rPr>
        <w:t xml:space="preserve">Промовисање нових технологија, укључујући технолошко уклањање угљен-диоксида, његово геолошко складиштење (CCS) и </w:t>
      </w:r>
      <w:proofErr w:type="spellStart"/>
      <w:r w:rsidRPr="00290886">
        <w:rPr>
          <w:b/>
        </w:rPr>
        <w:t>биогориво</w:t>
      </w:r>
      <w:proofErr w:type="spellEnd"/>
      <w:r w:rsidRPr="00290886">
        <w:rPr>
          <w:b/>
        </w:rPr>
        <w:t>.</w:t>
      </w:r>
    </w:p>
    <w:p w:rsidR="00EA7CFD" w:rsidRPr="00290886" w:rsidRDefault="00061DF7" w:rsidP="00261C03">
      <w:pPr>
        <w:pStyle w:val="Bodytext20"/>
        <w:widowControl/>
        <w:shd w:val="clear" w:color="auto" w:fill="auto"/>
        <w:spacing w:before="0" w:after="120" w:line="240" w:lineRule="auto"/>
        <w:ind w:left="400" w:firstLine="0"/>
        <w:jc w:val="both"/>
      </w:pPr>
      <w:r w:rsidRPr="00290886">
        <w:t xml:space="preserve">Ваш сектор подржава већу употребу земног гаса и </w:t>
      </w:r>
      <w:proofErr w:type="spellStart"/>
      <w:r w:rsidRPr="00290886">
        <w:t>биогорива</w:t>
      </w:r>
      <w:proofErr w:type="spellEnd"/>
      <w:r w:rsidRPr="00290886">
        <w:t xml:space="preserve">, као и истраживање и развој технологије уклањања угљен-диоксида којом се он уклања из атмосфере и </w:t>
      </w:r>
      <w:proofErr w:type="spellStart"/>
      <w:r w:rsidRPr="00290886">
        <w:t>складишти</w:t>
      </w:r>
      <w:proofErr w:type="spellEnd"/>
      <w:r w:rsidRPr="00290886">
        <w:t xml:space="preserve"> </w:t>
      </w:r>
      <w:r w:rsidRPr="00290886">
        <w:lastRenderedPageBreak/>
        <w:t>подземно.</w:t>
      </w:r>
      <w:r w:rsidRPr="00290886">
        <w:rPr>
          <w:i/>
          <w:iCs/>
          <w:sz w:val="18"/>
          <w:szCs w:val="18"/>
        </w:rPr>
        <w:t xml:space="preserve"> Ваша стручност у инжењерингу великог обима, геологији и транспорту горива може се применити на та горива и те области. Такође подржавате геолошко складиштење угљен-диоксида (CCS) у електранама које прерађују угаљ, али и друга горива, укључујући </w:t>
      </w:r>
      <w:proofErr w:type="spellStart"/>
      <w:r w:rsidRPr="00290886">
        <w:rPr>
          <w:i/>
          <w:iCs/>
          <w:sz w:val="18"/>
          <w:szCs w:val="18"/>
        </w:rPr>
        <w:t>биогориво</w:t>
      </w:r>
      <w:proofErr w:type="spellEnd"/>
      <w:r w:rsidRPr="00290886">
        <w:rPr>
          <w:i/>
          <w:iCs/>
          <w:sz w:val="18"/>
          <w:szCs w:val="18"/>
        </w:rPr>
        <w:t xml:space="preserve"> добијено уз CCS. CCS може да </w:t>
      </w:r>
      <w:r w:rsidRPr="00290886">
        <w:rPr>
          <w:rFonts w:ascii="Arial" w:hAnsi="Arial"/>
          <w:i/>
          <w:iCs/>
          <w:sz w:val="18"/>
          <w:szCs w:val="18"/>
        </w:rPr>
        <w:t>захвати 90% CO</w:t>
      </w:r>
      <w:r w:rsidRPr="00290886">
        <w:rPr>
          <w:rFonts w:ascii="Arial" w:hAnsi="Arial"/>
          <w:sz w:val="18"/>
          <w:szCs w:val="18"/>
          <w:vertAlign w:val="subscript"/>
        </w:rPr>
        <w:t>2</w:t>
      </w:r>
      <w:r w:rsidRPr="00290886">
        <w:rPr>
          <w:rFonts w:ascii="Arial" w:hAnsi="Arial"/>
          <w:i/>
          <w:iCs/>
          <w:sz w:val="18"/>
          <w:szCs w:val="18"/>
        </w:rPr>
        <w:t xml:space="preserve"> добијеног </w:t>
      </w:r>
      <w:r w:rsidRPr="00290886">
        <w:t>сагоревањем фосилних горива у електранама и индустријској производњи. CO</w:t>
      </w:r>
      <w:r w:rsidRPr="00290886">
        <w:rPr>
          <w:vertAlign w:val="subscript"/>
        </w:rPr>
        <w:t>2</w:t>
      </w:r>
      <w:r w:rsidRPr="00290886">
        <w:t xml:space="preserve"> затим може да се преведе у течно стање и пумпама одведе под земљу да би се унапредила производња нафте и гаса, или, што је мање профитабилно, у оно што су према вашим уверавањима стабилни геолошки резервоари. Технологија уклањања угљен-диоксида би, уколико постане изводљива и ценовно конкурентна, могла да помогне вашем сектору јер би онда CO</w:t>
      </w:r>
      <w:r w:rsidRPr="00290886">
        <w:rPr>
          <w:vertAlign w:val="subscript"/>
        </w:rPr>
        <w:t>2</w:t>
      </w:r>
      <w:r w:rsidRPr="00290886">
        <w:t xml:space="preserve"> могао да се уклања из атмосфере, што би компензовало емисије услед продуженог коришћења фосилних горива.</w:t>
      </w:r>
    </w:p>
    <w:p w:rsidR="00EA7CFD" w:rsidRPr="00290886" w:rsidRDefault="00061DF7" w:rsidP="00261C03">
      <w:pPr>
        <w:pStyle w:val="Bodytext20"/>
        <w:widowControl/>
        <w:numPr>
          <w:ilvl w:val="0"/>
          <w:numId w:val="1"/>
        </w:numPr>
        <w:shd w:val="clear" w:color="auto" w:fill="auto"/>
        <w:spacing w:before="0" w:after="120" w:line="240" w:lineRule="auto"/>
        <w:ind w:left="400" w:right="-1"/>
        <w:jc w:val="both"/>
      </w:pPr>
      <w:r w:rsidRPr="00290886">
        <w:rPr>
          <w:b/>
        </w:rPr>
        <w:t>Подстицање поступака који немају директан утицај на вашу делатност</w:t>
      </w:r>
      <w:r w:rsidRPr="00290886">
        <w:t>. Иако схватате да су климатске промене опасне, ви морате да штитите и капитал деоничара. Стога се залажете за политике које могу да смање емисије GHG гасова без смањивања коришћења фосилних горива. Иако CO</w:t>
      </w:r>
      <w:r w:rsidRPr="00290886">
        <w:rPr>
          <w:vertAlign w:val="subscript"/>
        </w:rPr>
        <w:t>2</w:t>
      </w:r>
      <w:r w:rsidRPr="00290886">
        <w:t xml:space="preserve"> из фосилних горива у највећој мери доприноси климатским променама, метан (CH</w:t>
      </w:r>
      <w:r w:rsidRPr="00290886">
        <w:rPr>
          <w:vertAlign w:val="subscript"/>
        </w:rPr>
        <w:t>4</w:t>
      </w:r>
      <w:r w:rsidRPr="00290886">
        <w:t>), азотни оксид (N</w:t>
      </w:r>
      <w:r w:rsidRPr="00290886">
        <w:rPr>
          <w:vertAlign w:val="subscript"/>
        </w:rPr>
        <w:t>2</w:t>
      </w:r>
      <w:r w:rsidRPr="00290886">
        <w:t>O) и други гасови производе снажан ефекат стаклене баште, а њихов утицај расте. Емисији ових гасова у огромној мери доприносе праксе у пољопривреди и шумарству по целом свету. Подржавате политике које ће смањити друге GHG гасове, првенствено емисије које потичу од земљорадње, пољопривреде и шумарства. Подржавате напоре да се смањи сеча шума и да се пошуми земљиште које је деградирано и са ког су шуме посечене.</w:t>
      </w:r>
    </w:p>
    <w:p w:rsidR="00EA7CFD" w:rsidRPr="00290886" w:rsidRDefault="00061DF7" w:rsidP="00261C03">
      <w:pPr>
        <w:pStyle w:val="Bodytext60"/>
        <w:widowControl/>
        <w:shd w:val="clear" w:color="auto" w:fill="auto"/>
        <w:spacing w:before="0" w:after="120" w:line="240" w:lineRule="auto"/>
      </w:pPr>
      <w:r w:rsidRPr="00290886">
        <w:t>Додатне теме за разматрање</w:t>
      </w:r>
    </w:p>
    <w:p w:rsidR="00EA7CFD" w:rsidRPr="00290886" w:rsidRDefault="00061DF7" w:rsidP="00261C03">
      <w:pPr>
        <w:pStyle w:val="Bodytext20"/>
        <w:widowControl/>
        <w:shd w:val="clear" w:color="auto" w:fill="auto"/>
        <w:spacing w:before="0" w:after="120" w:line="240" w:lineRule="auto"/>
        <w:ind w:firstLine="0"/>
        <w:jc w:val="both"/>
      </w:pPr>
      <w:proofErr w:type="spellStart"/>
      <w:r w:rsidRPr="00290886">
        <w:t>Климатолози</w:t>
      </w:r>
      <w:proofErr w:type="spellEnd"/>
      <w:r w:rsidRPr="00290886">
        <w:t xml:space="preserve"> које сами ангажујете слажу се проценом Међувладиног панела о климатским променама (IPCC) о претњи од климатских промена. Међутим, ви морате да помирите императив спречавања опасних климатских промена са потребама својих кључних заинтересованих страна, укључујући деоничаре, запослене, јавност (своје купце), креаторе политика који вам издају дозволе за рад, регулишу вашу делатност и утичу на оперативне трошкове и најзад, своје личне финансијске интересе као директора тих компанија.</w:t>
      </w:r>
    </w:p>
    <w:p w:rsidR="00EA7CFD" w:rsidRPr="00290886" w:rsidRDefault="00061DF7" w:rsidP="00261C03">
      <w:pPr>
        <w:pStyle w:val="Bodytext20"/>
        <w:widowControl/>
        <w:shd w:val="clear" w:color="auto" w:fill="auto"/>
        <w:spacing w:before="0" w:after="120" w:line="240" w:lineRule="auto"/>
        <w:ind w:firstLine="0"/>
        <w:jc w:val="both"/>
      </w:pPr>
      <w:r w:rsidRPr="00290886">
        <w:t>Конвенционални енергетски извори, укључујући фосилна горива и нуклеарну енергију чине преко 95% глобалног снабдевања енергијом. Ваш сектор само снабдева потрошаче оним што желе и не треба да буде окривљен нити кажњен због климатских промена. Смањење коришћења фосилних горива за кратко време може скупо коштати потрошаче и привреду. У великом делу света већ постоји инфраструктура за фосилна горива, док се у многим земљама у развоју још увек све више граде капацитети за фосилну енергију. Обновљиви извори енергије попут ветра и сунца су нестални и још увек не могу да обезбеде енергију за светску привреду. Ваше становиште је да су фосилна горива кључна за сузбијање „енергетског сиромаштва“ и економски раст, нарочито у земљама у развоју. Немојте да дозволите да вас активисти за заштиту животне средине представе као људе којима није стало до социјалне правде.</w:t>
      </w:r>
    </w:p>
    <w:p w:rsidR="00EA7CFD" w:rsidRPr="00290886" w:rsidRDefault="00061DF7" w:rsidP="00261C03">
      <w:pPr>
        <w:pStyle w:val="Bodytext20"/>
        <w:widowControl/>
        <w:shd w:val="clear" w:color="auto" w:fill="auto"/>
        <w:spacing w:before="0" w:after="120" w:line="240" w:lineRule="auto"/>
        <w:ind w:firstLine="0"/>
        <w:jc w:val="both"/>
      </w:pPr>
      <w:r w:rsidRPr="00290886">
        <w:t>Произвођачи фосилних горива, укључујући фирме које се баве угљем, нафтом и гасом, суочиће се са огромним финансијским потешкоћама уколико се озаконе политике за ограничење загревања на било шта близу 2°C. Фирме које зависе од фосилних горива мораће или да се промене из корена или да се затворе. Ограничавање загревања на 2°C значи да ће велики део познатих извора фосилних горива морати да остане у земљи и постане мртав капитал који никада неће донети зараду ни деоничарима ни владама. Биће изгубљен велики број радних места.</w:t>
      </w:r>
    </w:p>
    <w:p w:rsidR="00EA7CFD" w:rsidRPr="00290886" w:rsidRDefault="00061DF7" w:rsidP="00261C03">
      <w:pPr>
        <w:pStyle w:val="Bodytext20"/>
        <w:widowControl/>
        <w:shd w:val="clear" w:color="auto" w:fill="auto"/>
        <w:spacing w:before="0" w:after="120" w:line="240" w:lineRule="auto"/>
        <w:ind w:firstLine="0"/>
        <w:jc w:val="both"/>
      </w:pPr>
      <w:r w:rsidRPr="00290886">
        <w:t>У исто време, знате да се глобалне емисије морају зауздати да би се избегле најгоре последице климатских промена. Повећање нивоа мора, све екстремније временске прилике и последична геополитичка размештања представљају озбиљне ризике по постојеће снабдевање енергијом и светску привреду. Веће штете од климатских непогода такође повећавају ризик од екстремних политичких решења и регулатива које би нашкодиле индустрији фосилних горива. Док делујете тако да предупредите такве политике и регулативе, морате да истражите начине на које можете да искористите своју инфраструктуру, финансијски капитал и стручност да бисте се надметали и преживели на планети која се загрева.</w:t>
      </w:r>
    </w:p>
    <w:p w:rsidR="00934588" w:rsidRPr="00290886" w:rsidRDefault="00934588" w:rsidP="00252654">
      <w:pPr>
        <w:widowControl/>
        <w:jc w:val="center"/>
        <w:rPr>
          <w:lang w:val="en-GB"/>
        </w:rPr>
      </w:pPr>
      <w:r w:rsidRPr="00290886">
        <w:t>_____________</w:t>
      </w:r>
    </w:p>
    <w:sectPr w:rsidR="00934588" w:rsidRPr="00290886" w:rsidSect="00934588">
      <w:footerReference w:type="default" r:id="rId7"/>
      <w:pgSz w:w="11907" w:h="16840" w:code="9"/>
      <w:pgMar w:top="1417" w:right="1417" w:bottom="1417" w:left="1417"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A23" w:rsidRPr="00290886" w:rsidRDefault="004B6A23">
      <w:r w:rsidRPr="00290886">
        <w:separator/>
      </w:r>
    </w:p>
  </w:endnote>
  <w:endnote w:type="continuationSeparator" w:id="0">
    <w:p w:rsidR="004B6A23" w:rsidRPr="00290886" w:rsidRDefault="004B6A23">
      <w:r w:rsidRPr="0029088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588" w:rsidRPr="00290886" w:rsidRDefault="00934588" w:rsidP="00934588">
    <w:pPr>
      <w:pStyle w:val="Footer"/>
      <w:spacing w:line="240" w:lineRule="auto"/>
      <w:rPr>
        <w:i/>
        <w:sz w:val="20"/>
        <w:szCs w:val="20"/>
      </w:rPr>
    </w:pPr>
    <w:r w:rsidRPr="00290886">
      <w:rPr>
        <w:i/>
        <w:sz w:val="20"/>
        <w:szCs w:val="20"/>
      </w:rPr>
      <w:t xml:space="preserve">Развили: </w:t>
    </w:r>
    <w:proofErr w:type="spellStart"/>
    <w:r w:rsidRPr="00290886">
      <w:rPr>
        <w:i/>
        <w:sz w:val="20"/>
        <w:szCs w:val="20"/>
      </w:rPr>
      <w:t>Climate</w:t>
    </w:r>
    <w:proofErr w:type="spellEnd"/>
    <w:r w:rsidRPr="00290886">
      <w:rPr>
        <w:i/>
        <w:sz w:val="20"/>
        <w:szCs w:val="20"/>
      </w:rPr>
      <w:t xml:space="preserve"> </w:t>
    </w:r>
    <w:proofErr w:type="spellStart"/>
    <w:r w:rsidRPr="00290886">
      <w:rPr>
        <w:i/>
        <w:sz w:val="20"/>
        <w:szCs w:val="20"/>
      </w:rPr>
      <w:t>Interactive</w:t>
    </w:r>
    <w:proofErr w:type="spellEnd"/>
    <w:r w:rsidRPr="00290886">
      <w:rPr>
        <w:i/>
        <w:sz w:val="20"/>
        <w:szCs w:val="20"/>
      </w:rPr>
      <w:t xml:space="preserve">, MIT </w:t>
    </w:r>
    <w:proofErr w:type="spellStart"/>
    <w:r w:rsidRPr="00290886">
      <w:rPr>
        <w:i/>
        <w:sz w:val="20"/>
        <w:szCs w:val="20"/>
      </w:rPr>
      <w:t>Sloan</w:t>
    </w:r>
    <w:proofErr w:type="spellEnd"/>
    <w:r w:rsidRPr="00290886">
      <w:rPr>
        <w:i/>
        <w:sz w:val="20"/>
        <w:szCs w:val="20"/>
      </w:rPr>
      <w:t xml:space="preserve"> </w:t>
    </w:r>
    <w:proofErr w:type="spellStart"/>
    <w:r w:rsidRPr="00290886">
      <w:rPr>
        <w:i/>
        <w:sz w:val="20"/>
        <w:szCs w:val="20"/>
      </w:rPr>
      <w:t>School</w:t>
    </w:r>
    <w:proofErr w:type="spellEnd"/>
    <w:r w:rsidRPr="00290886">
      <w:rPr>
        <w:i/>
        <w:sz w:val="20"/>
        <w:szCs w:val="20"/>
      </w:rPr>
      <w:t xml:space="preserve"> </w:t>
    </w:r>
    <w:proofErr w:type="spellStart"/>
    <w:r w:rsidRPr="00290886">
      <w:rPr>
        <w:i/>
        <w:sz w:val="20"/>
        <w:szCs w:val="20"/>
      </w:rPr>
      <w:t>of</w:t>
    </w:r>
    <w:proofErr w:type="spellEnd"/>
    <w:r w:rsidRPr="00290886">
      <w:rPr>
        <w:i/>
        <w:sz w:val="20"/>
        <w:szCs w:val="20"/>
      </w:rPr>
      <w:t xml:space="preserve"> </w:t>
    </w:r>
    <w:proofErr w:type="spellStart"/>
    <w:r w:rsidRPr="00290886">
      <w:rPr>
        <w:i/>
        <w:sz w:val="20"/>
        <w:szCs w:val="20"/>
      </w:rPr>
      <w:t>Management</w:t>
    </w:r>
    <w:proofErr w:type="spellEnd"/>
    <w:r w:rsidRPr="00290886">
      <w:rPr>
        <w:i/>
        <w:sz w:val="20"/>
        <w:szCs w:val="20"/>
      </w:rPr>
      <w:t xml:space="preserve"> </w:t>
    </w:r>
    <w:proofErr w:type="spellStart"/>
    <w:r w:rsidRPr="00290886">
      <w:rPr>
        <w:i/>
        <w:sz w:val="20"/>
        <w:szCs w:val="20"/>
      </w:rPr>
      <w:t>Sustainability</w:t>
    </w:r>
    <w:proofErr w:type="spellEnd"/>
    <w:r w:rsidRPr="00290886">
      <w:rPr>
        <w:i/>
        <w:sz w:val="20"/>
        <w:szCs w:val="20"/>
      </w:rPr>
      <w:t xml:space="preserve"> </w:t>
    </w:r>
    <w:proofErr w:type="spellStart"/>
    <w:r w:rsidRPr="00290886">
      <w:rPr>
        <w:i/>
        <w:sz w:val="20"/>
        <w:szCs w:val="20"/>
      </w:rPr>
      <w:t>Initiative</w:t>
    </w:r>
    <w:proofErr w:type="spellEnd"/>
    <w:r w:rsidRPr="00290886">
      <w:rPr>
        <w:i/>
        <w:sz w:val="20"/>
        <w:szCs w:val="20"/>
      </w:rPr>
      <w:t xml:space="preserve">, ESB </w:t>
    </w:r>
    <w:proofErr w:type="spellStart"/>
    <w:r w:rsidRPr="00290886">
      <w:rPr>
        <w:i/>
        <w:sz w:val="20"/>
        <w:szCs w:val="20"/>
      </w:rPr>
      <w:t>Business</w:t>
    </w:r>
    <w:proofErr w:type="spellEnd"/>
    <w:r w:rsidRPr="00290886">
      <w:rPr>
        <w:i/>
        <w:sz w:val="20"/>
        <w:szCs w:val="20"/>
      </w:rPr>
      <w:t xml:space="preserve"> </w:t>
    </w:r>
    <w:proofErr w:type="spellStart"/>
    <w:r w:rsidRPr="00290886">
      <w:rPr>
        <w:i/>
        <w:sz w:val="20"/>
        <w:szCs w:val="20"/>
      </w:rPr>
      <w:t>School</w:t>
    </w:r>
    <w:proofErr w:type="spellEnd"/>
    <w:r w:rsidRPr="00290886">
      <w:rPr>
        <w:i/>
        <w:sz w:val="20"/>
        <w:szCs w:val="20"/>
      </w:rPr>
      <w:t xml:space="preserve"> и </w:t>
    </w:r>
    <w:proofErr w:type="spellStart"/>
    <w:r w:rsidRPr="00290886">
      <w:rPr>
        <w:i/>
        <w:sz w:val="20"/>
        <w:szCs w:val="20"/>
      </w:rPr>
      <w:t>UMass</w:t>
    </w:r>
    <w:proofErr w:type="spellEnd"/>
    <w:r w:rsidRPr="00290886">
      <w:rPr>
        <w:i/>
        <w:sz w:val="20"/>
        <w:szCs w:val="20"/>
      </w:rPr>
      <w:t xml:space="preserve"> </w:t>
    </w:r>
    <w:proofErr w:type="spellStart"/>
    <w:r w:rsidRPr="00290886">
      <w:rPr>
        <w:i/>
        <w:sz w:val="20"/>
        <w:szCs w:val="20"/>
      </w:rPr>
      <w:t>Lowell</w:t>
    </w:r>
    <w:proofErr w:type="spellEnd"/>
    <w:r w:rsidRPr="00290886">
      <w:rPr>
        <w:i/>
        <w:sz w:val="20"/>
        <w:szCs w:val="20"/>
      </w:rPr>
      <w:t xml:space="preserve"> </w:t>
    </w:r>
    <w:proofErr w:type="spellStart"/>
    <w:r w:rsidRPr="00290886">
      <w:rPr>
        <w:i/>
        <w:sz w:val="20"/>
        <w:szCs w:val="20"/>
      </w:rPr>
      <w:t>Climate</w:t>
    </w:r>
    <w:proofErr w:type="spellEnd"/>
    <w:r w:rsidRPr="00290886">
      <w:rPr>
        <w:i/>
        <w:sz w:val="20"/>
        <w:szCs w:val="20"/>
      </w:rPr>
      <w:t xml:space="preserve"> </w:t>
    </w:r>
    <w:proofErr w:type="spellStart"/>
    <w:r w:rsidRPr="00290886">
      <w:rPr>
        <w:i/>
        <w:sz w:val="20"/>
        <w:szCs w:val="20"/>
      </w:rPr>
      <w:t>Change</w:t>
    </w:r>
    <w:proofErr w:type="spellEnd"/>
    <w:r w:rsidRPr="00290886">
      <w:rPr>
        <w:i/>
        <w:sz w:val="20"/>
        <w:szCs w:val="20"/>
      </w:rPr>
      <w:t xml:space="preserve"> </w:t>
    </w:r>
    <w:proofErr w:type="spellStart"/>
    <w:r w:rsidRPr="00290886">
      <w:rPr>
        <w:i/>
        <w:sz w:val="20"/>
        <w:szCs w:val="20"/>
      </w:rPr>
      <w:t>Initiative</w:t>
    </w:r>
    <w:proofErr w:type="spellEnd"/>
    <w:r w:rsidRPr="00290886">
      <w:rPr>
        <w:i/>
        <w:sz w:val="20"/>
        <w:szCs w:val="20"/>
      </w:rPr>
      <w:t xml:space="preserve">. Последњи пут ажурирано у септембру 2019. www.cllmatelnteractlve.org </w:t>
    </w:r>
    <w:hyperlink r:id="rId1" w:history="1">
      <w:r w:rsidRPr="00290886">
        <w:rPr>
          <w:rStyle w:val="Hyperlink"/>
          <w:i/>
          <w:sz w:val="20"/>
          <w:szCs w:val="20"/>
        </w:rPr>
        <w:t>www.cllmatelnteractlve.org</w:t>
      </w:r>
    </w:hyperlink>
    <w:r w:rsidRPr="00290886">
      <w:rPr>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A23" w:rsidRPr="00290886" w:rsidRDefault="004B6A23"/>
  </w:footnote>
  <w:footnote w:type="continuationSeparator" w:id="0">
    <w:p w:rsidR="004B6A23" w:rsidRPr="00290886" w:rsidRDefault="004B6A23"/>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F67507"/>
    <w:multiLevelType w:val="multilevel"/>
    <w:tmpl w:val="D7A450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CFD"/>
    <w:rsid w:val="00007579"/>
    <w:rsid w:val="00061DF7"/>
    <w:rsid w:val="0010014B"/>
    <w:rsid w:val="001C401E"/>
    <w:rsid w:val="00252654"/>
    <w:rsid w:val="00261C03"/>
    <w:rsid w:val="00290886"/>
    <w:rsid w:val="002A3890"/>
    <w:rsid w:val="004B6A23"/>
    <w:rsid w:val="00565AD4"/>
    <w:rsid w:val="005D5E40"/>
    <w:rsid w:val="007B2DD0"/>
    <w:rsid w:val="00934588"/>
    <w:rsid w:val="00941B40"/>
    <w:rsid w:val="009C54B9"/>
    <w:rsid w:val="00B66DC1"/>
    <w:rsid w:val="00B75ADD"/>
    <w:rsid w:val="00D722EA"/>
    <w:rsid w:val="00DF6E68"/>
    <w:rsid w:val="00EA7CFD"/>
    <w:rsid w:val="00F53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7B55DB7-5CE6-4E77-B72D-9BE328D8B06A}"/>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sr-Cyrl-R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sr-Cyrl-RS"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sr-Cyrl-R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sr-Cyrl-R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r-Cyrl-R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r-Cyrl-RS"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r-Cyrl-RS"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 w:type="paragraph" w:styleId="BalloonText">
    <w:name w:val="Balloon Text"/>
    <w:basedOn w:val="Normal"/>
    <w:link w:val="BalloonTextChar"/>
    <w:uiPriority w:val="99"/>
    <w:semiHidden/>
    <w:unhideWhenUsed/>
    <w:rsid w:val="00261C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1C03"/>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CTJJHAUHWN5E-644613129-864</_dlc_DocId>
    <_dlc_DocIdUrl xmlns="bfc960a6-20da-4c94-8684-71380fca093b">
      <Url>http://dm2016/eesc/2019/_layouts/15/DocIdRedir.aspx?ID=CTJJHAUHWN5E-644613129-864</Url>
      <Description>CTJJHAUHWN5E-644613129-864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2019-11-27T12:00:00+00:00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152</Value>
      <Value>11</Value>
      <Value>154</Value>
      <Value>162</Value>
      <Value>246</Value>
      <Value>7</Value>
      <Value>5</Value>
      <Value>4</Value>
      <Value>2</Value>
      <Value>1</Value>
      <Value>153</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SR</TermName>
          <TermId xmlns="http://schemas.microsoft.com/office/infopath/2007/PartnerControls">7f3a1d13-b985-4bfd-981e-afe31377edff</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11384</FicheNumber>
    <DocumentPart xmlns="bfc960a6-20da-4c94-8684-71380fca093b">1</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65600B79-22FA-4D76-82C9-CC5470AC19C7}"/>
</file>

<file path=customXml/itemProps2.xml><?xml version="1.0" encoding="utf-8"?>
<ds:datastoreItem xmlns:ds="http://schemas.openxmlformats.org/officeDocument/2006/customXml" ds:itemID="{3A468D08-B6D6-44A2-8BDD-F364D5E0B0C5}"/>
</file>

<file path=customXml/itemProps3.xml><?xml version="1.0" encoding="utf-8"?>
<ds:datastoreItem xmlns:ds="http://schemas.openxmlformats.org/officeDocument/2006/customXml" ds:itemID="{78F06861-24D4-4968-8972-624806F9B42F}"/>
</file>

<file path=customXml/itemProps4.xml><?xml version="1.0" encoding="utf-8"?>
<ds:datastoreItem xmlns:ds="http://schemas.openxmlformats.org/officeDocument/2006/customXml" ds:itemID="{A15035D4-E6D0-4282-97BA-E53E03B4390F}"/>
</file>

<file path=docProps/app.xml><?xml version="1.0" encoding="utf-8"?>
<Properties xmlns="http://schemas.openxmlformats.org/officeDocument/2006/extended-properties" xmlns:vt="http://schemas.openxmlformats.org/officeDocument/2006/docPropsVTypes">
  <Template>Normal.dotm</Template>
  <TotalTime>0</TotalTime>
  <Pages>2</Pages>
  <Words>1164</Words>
  <Characters>6636</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2 - Conventional Energy Supply </dc:title>
  <dc:creator>CDT</dc:creator>
  <cp:keywords>EESC-2019-05163-01-00-INFO-TRA-EN</cp:keywords>
  <dc:description>Rapporteur:  - Original language: EN - Date of document: 27/11/2019 - Date of meeting:  - External documents:  - Administrator: MME Lahousse Chloé</dc:description>
  <cp:lastModifiedBy>Robert Urukalo</cp:lastModifiedBy>
  <cp:revision>2</cp:revision>
  <dcterms:created xsi:type="dcterms:W3CDTF">2019-11-27T13:58:00Z</dcterms:created>
  <dcterms:modified xsi:type="dcterms:W3CDTF">2019-11-27T13:58:00Z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08:03:13, 17:09:52</vt:lpwstr>
  </property>
  <property fmtid="{D5CDD505-2E9C-101B-9397-08002B2CF9AE}" pid="5" name="Pref_User">
    <vt:lpwstr>enied, htoo</vt:lpwstr>
  </property>
  <property fmtid="{D5CDD505-2E9C-101B-9397-08002B2CF9AE}" pid="6" name="Pref_FileName">
    <vt:lpwstr>EESC-2019-05163-01-00-INFO-TRA-EN-CRR.docx, EESC-2019-05163-01-00-INFO-CRR-EN.docx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af44ac18-20b9-49bd-bb58-cbafec3f3042</vt:lpwstr>
  </property>
  <property fmtid="{D5CDD505-2E9C-101B-9397-08002B2CF9AE}" pid="9" name="AvailableTranslations">
    <vt:lpwstr>152;#MK|34ce48bb-063e-4413-a932-50853dc71c5c;#162;#TR|6e4ededd-04c4-4fa0-94e0-1028050302d5;#246;#ME|925b3da5-5ac0-4b3c-928c-6ef66a5c9b3c;#153;#SR|7f3a1d13-b985-4bfd-981e-afe31377edff;#4;#EN|f2175f21-25d7-44a3-96da-d6a61b075e1b;#154;#SQ|5ac17240-8d11-45ec-9893-659b209d7a00</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1</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11;#INFO|d9136e7c-93a9-4c42-9d28-92b61e85f80c;#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11384</vt:i4>
  </property>
  <property fmtid="{D5CDD505-2E9C-101B-9397-08002B2CF9AE}" pid="37" name="DocumentLanguage">
    <vt:lpwstr>153;#SR|7f3a1d13-b985-4bfd-981e-afe31377edff</vt:lpwstr>
  </property>
  <property fmtid="{D5CDD505-2E9C-101B-9397-08002B2CF9AE}" pid="38" name="_docset_NoMedatataSyncRequired">
    <vt:lpwstr>False</vt:lpwstr>
  </property>
</Properties>
</file>